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0" w:rsidRPr="00D97950" w:rsidRDefault="00D97950" w:rsidP="00D979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979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για μεταβολή ποσοστού μετόχων σε επίπεδο</w:t>
      </w:r>
    </w:p>
    <w:p w:rsidR="00D97950" w:rsidRPr="00D97950" w:rsidRDefault="00D97950" w:rsidP="00D97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7950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Ν.3556/2007, η Quality &amp; Reliability AE γνωστοποιεί ότι σύμφωνα με την ενημέρωση που έλαβε από τον κο John Arthur Bray Croker την 23η Αυγούστου 2019, ο κος John Arthur Bray Croker την 22</w:t>
      </w:r>
      <w:r w:rsidRPr="00D97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α</w:t>
      </w:r>
      <w:r w:rsidRPr="00D979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Αυγούστου 2019, ξεπέρασε το ποσοστό του 15% που κατείχε (άμεσα και έμμεσα) στο μετοχικό κεφάλαιο της εταιρείας  και συγκεκριμένα κατέχει 15,2529% άμεσα και έμμεσα σε  μετοχές εκδόσεως της εταιρείας καθώς και τα αντίστοιχα δικαιώματα ψήφου. </w:t>
      </w:r>
    </w:p>
    <w:p w:rsidR="00D97950" w:rsidRPr="00D97950" w:rsidRDefault="00D97950" w:rsidP="00D97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7950">
        <w:rPr>
          <w:rFonts w:ascii="Times New Roman" w:eastAsia="Times New Roman" w:hAnsi="Times New Roman" w:cs="Times New Roman"/>
          <w:sz w:val="24"/>
          <w:szCs w:val="24"/>
          <w:lang w:eastAsia="el-GR"/>
        </w:rPr>
        <w:t> Μετά την ανωτέρω συναλλαγή ο κος John Arthur Bray Croker κάτεχει:</w:t>
      </w:r>
    </w:p>
    <w:p w:rsidR="00D97950" w:rsidRPr="00D97950" w:rsidRDefault="00D97950" w:rsidP="00D97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7950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 * άμεσα 3.922.918 μετοχές εκδόσεως της εταιρείας και τα αντίστοιχα δικαιώματα ψήφου που αντιστοιχούν σε ποσοστό 14,346% του μετοχικού κεφαλαίου</w:t>
      </w:r>
    </w:p>
    <w:p w:rsidR="00D97950" w:rsidRPr="00D97950" w:rsidRDefault="00D97950" w:rsidP="00D97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7950">
        <w:rPr>
          <w:rFonts w:ascii="Times New Roman" w:eastAsia="Times New Roman" w:hAnsi="Times New Roman" w:cs="Times New Roman"/>
          <w:sz w:val="24"/>
          <w:szCs w:val="24"/>
          <w:lang w:eastAsia="el-GR"/>
        </w:rPr>
        <w:t>   * έμεσσα  248.000 μετοχές εκδόσεως της εταιρείας και τα αντίστοιχα δικαιώματα ψήφου που αντιστοιχούν σε ποσοστό 0,9069% του μετοχικού κεφαλαίου.</w:t>
      </w:r>
    </w:p>
    <w:p w:rsidR="00D97950" w:rsidRPr="00D97950" w:rsidRDefault="00D97950" w:rsidP="00D97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7950">
        <w:rPr>
          <w:rFonts w:ascii="Times New Roman" w:eastAsia="Times New Roman" w:hAnsi="Times New Roman" w:cs="Times New Roman"/>
          <w:sz w:val="24"/>
          <w:szCs w:val="24"/>
          <w:lang w:eastAsia="el-GR"/>
        </w:rPr>
        <w:t> Συνολικά άμεσα και έμμεσα κατέχει 4.170.918 μετοχές εκδόσεως της εταιρείας και τα αντίστοιχα δικαιώματα ψήφου που αντιστοιχούν σε ποσοστό 15,2529% του μετοχικού κεφαλαίου.</w:t>
      </w:r>
    </w:p>
    <w:sectPr w:rsidR="00D97950" w:rsidRPr="00D97950" w:rsidSect="00680A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3CFD"/>
    <w:multiLevelType w:val="multilevel"/>
    <w:tmpl w:val="C99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97950"/>
    <w:rsid w:val="00680A75"/>
    <w:rsid w:val="00D9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75"/>
  </w:style>
  <w:style w:type="paragraph" w:styleId="Heading1">
    <w:name w:val="heading 1"/>
    <w:basedOn w:val="Normal"/>
    <w:link w:val="Heading1Char"/>
    <w:uiPriority w:val="9"/>
    <w:qFormat/>
    <w:rsid w:val="00D97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9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97950"/>
    <w:rPr>
      <w:b/>
      <w:bCs/>
    </w:rPr>
  </w:style>
  <w:style w:type="character" w:customStyle="1" w:styleId="time">
    <w:name w:val="time"/>
    <w:basedOn w:val="DefaultParagraphFont"/>
    <w:rsid w:val="00D97950"/>
  </w:style>
  <w:style w:type="paragraph" w:styleId="NormalWeb">
    <w:name w:val="Normal (Web)"/>
    <w:basedOn w:val="Normal"/>
    <w:uiPriority w:val="99"/>
    <w:semiHidden/>
    <w:unhideWhenUsed/>
    <w:rsid w:val="00D9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4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2019-08-30T10:41:00Z</dcterms:created>
  <dcterms:modified xsi:type="dcterms:W3CDTF">2019-08-30T10:50:00Z</dcterms:modified>
</cp:coreProperties>
</file>